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60" w:lineRule="exact"/>
        <w:jc w:val="center"/>
        <w:rPr>
          <w:rFonts w:ascii="方正大标宋简体" w:eastAsia="方正大标宋简体"/>
          <w:color w:val="FF0000"/>
          <w:spacing w:val="-28"/>
          <w:w w:val="50"/>
          <w:sz w:val="190"/>
          <w:szCs w:val="190"/>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-297180</wp:posOffset>
                </wp:positionV>
                <wp:extent cx="1943100" cy="495300"/>
                <wp:effectExtent l="4445" t="4445" r="14605" b="14605"/>
                <wp:wrapNone/>
                <wp:docPr id="7" name="文本框 7"/>
                <wp:cNvGraphicFramePr/>
                <a:graphic xmlns:a="http://schemas.openxmlformats.org/drawingml/2006/main">
                  <a:graphicData uri="http://schemas.microsoft.com/office/word/2010/wordprocessingShape">
                    <wps:wsp>
                      <wps:cNvSpPr txBox="true"/>
                      <wps:spPr>
                        <a:xfrm>
                          <a:off x="0" y="0"/>
                          <a:ext cx="19431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ascii="宋体" w:hAnsi="宋体" w:cs="宋体"/>
                                <w:b/>
                                <w:bCs/>
                                <w:kern w:val="0"/>
                                <w:sz w:val="32"/>
                                <w:szCs w:val="32"/>
                              </w:rPr>
                              <w:t>TZDR-2018-001001</w:t>
                            </w:r>
                          </w:p>
                        </w:txbxContent>
                      </wps:txbx>
                      <wps:bodyPr upright="true"/>
                    </wps:wsp>
                  </a:graphicData>
                </a:graphic>
              </wp:anchor>
            </w:drawing>
          </mc:Choice>
          <mc:Fallback>
            <w:pict>
              <v:shape id="_x0000_s1026" o:spid="_x0000_s1026" o:spt="202" type="#_x0000_t202" style="position:absolute;left:0pt;margin-left:-9pt;margin-top:-23.4pt;height:39pt;width:153pt;z-index:251669504;mso-width-relative:page;mso-height-relative:page;" stroked="t" coordsize="21600,21600" o:gfxdata="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YKpPX1wAAAAoBAAAPAAAAAAAAAAEAIAAAADgAAABkcnMv&#10;ZG93bnJldi54bWxQSwECFAAUAAAACACHTuJAxjj8uu4BAADuAwAADgAAAAAAAAABACAAAAA8AQAA&#10;ZHJzL2Uyb0RvYy54bWxQSwUGAAAAAAYABgBZAQAAnAUAAAAA&#10;">
                <v:path/>
                <v:fill focussize="0,0"/>
                <v:stroke color="#FFFFFF" joinstyle="miter"/>
                <v:imagedata o:title=""/>
                <o:lock v:ext="edit"/>
                <v:textbox>
                  <w:txbxContent>
                    <w:p>
                      <w:r>
                        <w:rPr>
                          <w:rFonts w:ascii="宋体" w:hAnsi="宋体" w:cs="宋体"/>
                          <w:b/>
                          <w:bCs/>
                          <w:kern w:val="0"/>
                          <w:sz w:val="32"/>
                          <w:szCs w:val="32"/>
                        </w:rPr>
                        <w:t>TZDR-2018-001001</w:t>
                      </w:r>
                    </w:p>
                  </w:txbxContent>
                </v:textbox>
              </v:shape>
            </w:pict>
          </mc:Fallback>
        </mc:AlternateContent>
      </w:r>
      <w:r>
        <w:rPr>
          <w:rFonts w:hint="eastAsia" w:ascii="黑体" w:hAnsi="黑体" w:eastAsia="黑体"/>
          <w:color w:val="FFFFFF"/>
          <w:sz w:val="32"/>
          <w:szCs w:val="3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-403860</wp:posOffset>
                </wp:positionV>
                <wp:extent cx="1828800" cy="495300"/>
                <wp:effectExtent l="4445" t="4445" r="14605" b="14605"/>
                <wp:wrapNone/>
                <wp:docPr id="6" name="文本框 6"/>
                <wp:cNvGraphicFramePr/>
                <a:graphic xmlns:a="http://schemas.openxmlformats.org/drawingml/2006/main">
                  <a:graphicData uri="http://schemas.microsoft.com/office/word/2010/wordprocessingShape">
                    <wps:wsp>
                      <wps:cNvSpPr txBox="true"/>
                      <wps:spPr>
                        <a:xfrm>
                          <a:off x="0" y="0"/>
                          <a:ext cx="18288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黑体"/>
                                <w:lang w:eastAsia="zh-CN"/>
                              </w:rPr>
                            </w:pPr>
                            <w:r>
                              <w:rPr>
                                <w:rFonts w:hint="eastAsia" w:ascii="黑体" w:hAnsi="黑体" w:eastAsia="黑体"/>
                                <w:sz w:val="32"/>
                                <w:szCs w:val="32"/>
                              </w:rPr>
                              <w:t>TZDR-2018-00100</w:t>
                            </w:r>
                            <w:r>
                              <w:rPr>
                                <w:rFonts w:hint="eastAsia" w:ascii="黑体" w:hAnsi="黑体" w:eastAsia="黑体"/>
                                <w:sz w:val="32"/>
                                <w:szCs w:val="32"/>
                                <w:lang w:val="en-US" w:eastAsia="zh-CN"/>
                              </w:rPr>
                              <w:t>2</w:t>
                            </w:r>
                          </w:p>
                        </w:txbxContent>
                      </wps:txbx>
                      <wps:bodyPr upright="true"/>
                    </wps:wsp>
                  </a:graphicData>
                </a:graphic>
              </wp:anchor>
            </w:drawing>
          </mc:Choice>
          <mc:Fallback>
            <w:pict>
              <v:shape id="_x0000_s1026" o:spid="_x0000_s1026" o:spt="202" type="#_x0000_t202" style="position:absolute;left:0pt;margin-left:-13.05pt;margin-top:-31.8pt;height:39pt;width:144pt;z-index:251673600;mso-width-relative:page;mso-height-relative:page;" fillcolor="#FFFFFF" filled="t" stroked="t" coordsize="21600,21600" o:gfxdata="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JfXwG1wAAAAoBAAAPAAAAAAAAAAEAIAAAADgAAABkcnMv&#10;ZG93bnJldi54bWxQSwECFAAUAAAACACHTuJAB+xAbu4BAADuAwAADgAAAAAAAAABACAAAAA8AQAA&#10;ZHJzL2Uyb0RvYy54bWxQSwUGAAAAAAYABgBZAQAAnAUAAAAA&#10;">
                <v:path/>
                <v:fill on="t" focussize="0,0"/>
                <v:stroke color="#FFFFFF"/>
                <v:imagedata o:title=""/>
                <o:lock v:ext="edit"/>
                <v:textbox>
                  <w:txbxContent>
                    <w:p>
                      <w:pPr>
                        <w:rPr>
                          <w:rFonts w:hint="eastAsia" w:eastAsia="黑体"/>
                          <w:lang w:eastAsia="zh-CN"/>
                        </w:rPr>
                      </w:pPr>
                      <w:r>
                        <w:rPr>
                          <w:rFonts w:hint="eastAsia" w:ascii="黑体" w:hAnsi="黑体" w:eastAsia="黑体"/>
                          <w:sz w:val="32"/>
                          <w:szCs w:val="32"/>
                        </w:rPr>
                        <w:t>TZDR-2018-00100</w:t>
                      </w:r>
                      <w:r>
                        <w:rPr>
                          <w:rFonts w:hint="eastAsia" w:ascii="黑体" w:hAnsi="黑体" w:eastAsia="黑体"/>
                          <w:sz w:val="32"/>
                          <w:szCs w:val="32"/>
                          <w:lang w:val="en-US" w:eastAsia="zh-CN"/>
                        </w:rPr>
                        <w:t>2</w:t>
                      </w:r>
                    </w:p>
                  </w:txbxContent>
                </v:textbox>
              </v:shape>
            </w:pict>
          </mc:Fallback>
        </mc:AlternateContent>
      </w:r>
      <w:r>
        <w:rPr>
          <w:rFonts w:hint="eastAsia" w:ascii="方正大标宋简体" w:eastAsia="方正大标宋简体" w:cs="方正大标宋简体"/>
          <w:color w:val="FF0000"/>
          <w:spacing w:val="-28"/>
          <w:w w:val="50"/>
          <w:sz w:val="190"/>
          <w:szCs w:val="190"/>
        </w:rPr>
        <w:t>滕州市人民政府文件</w:t>
      </w:r>
    </w:p>
    <w:p>
      <w:pPr>
        <w:spacing w:line="1680" w:lineRule="exact"/>
        <w:jc w:val="center"/>
        <w:rPr>
          <w:rFonts w:ascii="方正大标宋简体" w:eastAsia="方正大标宋简体"/>
          <w:w w:val="65"/>
          <w:sz w:val="140"/>
          <w:szCs w:val="140"/>
        </w:rPr>
      </w:pPr>
      <w:r>
        <w:rPr>
          <w:rFonts w:hint="eastAsia" w:ascii="仿宋_GB2312" w:eastAsia="仿宋_GB2312" w:cs="仿宋_GB2312"/>
          <w:sz w:val="32"/>
          <w:szCs w:val="32"/>
        </w:rPr>
        <w:t>滕政发〔</w:t>
      </w:r>
      <w:r>
        <w:rPr>
          <w:rFonts w:ascii="仿宋_GB2312" w:eastAsia="仿宋_GB2312" w:cs="仿宋_GB2312"/>
          <w:sz w:val="32"/>
          <w:szCs w:val="32"/>
        </w:rPr>
        <w:t>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号</w:t>
      </w:r>
    </w:p>
    <w:p>
      <w:pPr>
        <w:spacing w:line="200" w:lineRule="exact"/>
        <w:jc w:val="center"/>
        <w:rPr>
          <w:rFonts w:ascii="方正大标宋简体" w:eastAsia="方正大标宋简体"/>
          <w:w w:val="65"/>
          <w:sz w:val="140"/>
          <w:szCs w:val="140"/>
        </w:rPr>
      </w:pPr>
      <w:r>
        <mc:AlternateContent>
          <mc:Choice Requires="wps">
            <w:drawing>
              <wp:anchor distT="0" distB="0" distL="114300" distR="114300" simplePos="0" relativeHeight="251674624" behindDoc="0" locked="0" layoutInCell="1" allowOverlap="1">
                <wp:simplePos x="0" y="0"/>
                <wp:positionH relativeFrom="column">
                  <wp:posOffset>-91440</wp:posOffset>
                </wp:positionH>
                <wp:positionV relativeFrom="paragraph">
                  <wp:posOffset>0</wp:posOffset>
                </wp:positionV>
                <wp:extent cx="5568315" cy="0"/>
                <wp:effectExtent l="0" t="9525" r="13335" b="9525"/>
                <wp:wrapNone/>
                <wp:docPr id="3" name="直接连接符 3"/>
                <wp:cNvGraphicFramePr/>
                <a:graphic xmlns:a="http://schemas.openxmlformats.org/drawingml/2006/main">
                  <a:graphicData uri="http://schemas.microsoft.com/office/word/2010/wordprocessingShape">
                    <wps:wsp>
                      <wps:cNvSpPr/>
                      <wps:spPr>
                        <a:xfrm>
                          <a:off x="0" y="0"/>
                          <a:ext cx="556831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2pt;margin-top:0pt;height:0pt;width:438.45pt;z-index:251674624;mso-width-relative:page;mso-height-relative:page;" stroked="t" coordsize="21600,21600" o:gfxdata="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oSsFtUAAAAFAQAADwAAAAAAAAABACAAAAA4AAAAZHJzL2Rvd25yZXYueG1sUEsBAhQA&#10;FAAAAAgAh07iQMGKIPTfAQAAmgMAAA4AAAAAAAAAAQAgAAAAOgEAAGRycy9lMm9Eb2MueG1sUEsF&#10;BgAAAAAGAAYAWQEAAIsFAAAAAA==&#10;">
                <v:path arrowok="t"/>
                <v:fill focussize="0,0"/>
                <v:stroke weight="1.5pt" color="#FF0000"/>
                <v:imagedata o:title=""/>
                <o:lock v:ext="edit"/>
              </v:line>
            </w:pict>
          </mc:Fallback>
        </mc:AlternateContent>
      </w:r>
    </w:p>
    <w:p>
      <w:pPr>
        <w:spacing w:line="400" w:lineRule="exact"/>
        <w:jc w:val="center"/>
        <w:rPr>
          <w:rFonts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滕州市人民政府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关于公布市政府规范性文件清理结果的决定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仿宋_GB2312" w:hAnsi="仿宋_GB2312" w:eastAsia="仿宋_GB2312"/>
          <w:color w:val="000000" w:themeColor="text1"/>
          <w:kern w:val="0"/>
          <w:sz w:val="32"/>
          <w:lang w:eastAsia="zh-CN"/>
          <w14:textFill>
            <w14:solidFill>
              <w14:schemeClr w14:val="tx1"/>
            </w14:solidFill>
          </w14:textFill>
        </w:rPr>
        <w:t>各镇人民政府、街道办事处，</w:t>
      </w:r>
      <w:r>
        <w:rPr>
          <w:rFonts w:hint="eastAsia" w:ascii="仿宋_GB2312" w:hAnsi="仿宋_GB2312" w:eastAsia="仿宋_GB2312"/>
          <w:color w:val="000000" w:themeColor="text1"/>
          <w:kern w:val="0"/>
          <w:sz w:val="32"/>
          <w14:textFill>
            <w14:solidFill>
              <w14:schemeClr w14:val="tx1"/>
            </w14:solidFill>
          </w14:textFill>
        </w:rPr>
        <w:t>滕州经济开发区管委会，市政府各部门，</w:t>
      </w:r>
      <w:r>
        <w:rPr>
          <w:rFonts w:hint="eastAsia" w:ascii="仿宋_GB2312" w:hAnsi="仿宋_GB2312" w:eastAsia="仿宋_GB2312"/>
          <w:color w:val="000000" w:themeColor="text1"/>
          <w:kern w:val="0"/>
          <w:sz w:val="32"/>
          <w:lang w:eastAsia="zh-CN"/>
          <w14:textFill>
            <w14:solidFill>
              <w14:schemeClr w14:val="tx1"/>
            </w14:solidFill>
          </w14:textFill>
        </w:rPr>
        <w:t>各企事业单位：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为深入贯彻落实中央、省</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和两级</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市法治政府建设实施纲要，进一步加强规范性文件的监督管理，维护社会主义法制统一，更好地服务全市经济社会发展，根据</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《国务院关于在市场体系建设中建立公平竞争审查制度的意见》（国发〔</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2016〕34号）</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山东省行政程序规定》（政府令第238号）、《山东省人民政府办公厅贯彻落实国办发〔2017〕40号文件进一步做好规范性文件清理工作的通知》（鲁政办发〔2017〕56号）和《山东省人民政府法制办公室关于做好生态文明建设和环境保护法规、规章和规范性文件清理工作的函》（鲁府法发〔2017〕22号）等文件要求，</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市政府组织对</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7年之</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前</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发布</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依法</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进行了全面清理</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清理结果已经201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年1月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日</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第18届15</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次市政府常务会议审议通过，现公布如下：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一、</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滕州市人民政府关于加强农业标准体系建设工作的意见</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174</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件市政府规范性文件继续有效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。其中，标注了有效期的文件，按其载明的有效期执行；未标注有效期的文件</w:t>
      </w:r>
      <w:r>
        <w:rPr>
          <w:rFonts w:hint="eastAsia" w:ascii="仿宋_GB2312" w:hAnsi="仿宋_GB2312" w:eastAsia="仿宋_GB2312"/>
          <w:color w:val="000000" w:themeColor="text1"/>
          <w:kern w:val="0"/>
          <w:sz w:val="32"/>
          <w:lang w:val="en-US" w:eastAsia="zh-CN"/>
          <w14:textFill>
            <w14:solidFill>
              <w14:schemeClr w14:val="tx1"/>
            </w14:solidFill>
          </w14:textFill>
        </w:rPr>
        <w:t>，其有效期至</w:t>
      </w:r>
      <w:r>
        <w:rPr>
          <w:rFonts w:hint="default" w:ascii="仿宋_GB2312" w:hAnsi="仿宋_GB2312" w:eastAsia="仿宋_GB2312"/>
          <w:color w:val="000000" w:themeColor="text1"/>
          <w:kern w:val="0"/>
          <w:sz w:val="32"/>
          <w:lang w:val="en-US" w:eastAsia="zh-CN"/>
          <w14:textFill>
            <w14:solidFill>
              <w14:schemeClr w14:val="tx1"/>
            </w14:solidFill>
          </w14:textFill>
        </w:rPr>
        <w:t>202</w:t>
      </w:r>
      <w:r>
        <w:rPr>
          <w:rFonts w:hint="eastAsia" w:ascii="仿宋_GB2312" w:hAnsi="仿宋_GB2312" w:eastAsia="仿宋_GB2312"/>
          <w:color w:val="000000" w:themeColor="text1"/>
          <w:kern w:val="0"/>
          <w:sz w:val="32"/>
          <w:lang w:val="en-US" w:eastAsia="zh-CN"/>
          <w14:textFill>
            <w14:solidFill>
              <w14:schemeClr w14:val="tx1"/>
            </w14:solidFill>
          </w14:textFill>
        </w:rPr>
        <w:t>3</w:t>
      </w:r>
      <w:r>
        <w:rPr>
          <w:rFonts w:hint="default" w:ascii="仿宋_GB2312" w:hAnsi="仿宋_GB2312" w:eastAsia="仿宋_GB2312"/>
          <w:color w:val="000000" w:themeColor="text1"/>
          <w:kern w:val="0"/>
          <w:sz w:val="32"/>
          <w:lang w:val="en-US" w:eastAsia="zh-CN"/>
          <w14:textFill>
            <w14:solidFill>
              <w14:schemeClr w14:val="tx1"/>
            </w14:solidFill>
          </w14:textFill>
        </w:rPr>
        <w:t>年</w:t>
      </w:r>
      <w:r>
        <w:rPr>
          <w:rFonts w:hint="eastAsia" w:ascii="仿宋_GB2312" w:hAnsi="仿宋_GB2312" w:eastAsia="仿宋_GB2312"/>
          <w:color w:val="000000" w:themeColor="text1"/>
          <w:kern w:val="0"/>
          <w:sz w:val="32"/>
          <w:lang w:val="en-US" w:eastAsia="zh-CN"/>
          <w14:textFill>
            <w14:solidFill>
              <w14:schemeClr w14:val="tx1"/>
            </w14:solidFill>
          </w14:textFill>
        </w:rPr>
        <w:t>2</w:t>
      </w:r>
      <w:r>
        <w:rPr>
          <w:rFonts w:hint="default" w:ascii="仿宋_GB2312" w:hAnsi="仿宋_GB2312" w:eastAsia="仿宋_GB2312"/>
          <w:color w:val="000000" w:themeColor="text1"/>
          <w:kern w:val="0"/>
          <w:sz w:val="32"/>
          <w:lang w:val="en-US" w:eastAsia="zh-CN"/>
          <w14:textFill>
            <w14:solidFill>
              <w14:schemeClr w14:val="tx1"/>
            </w14:solidFill>
          </w14:textFill>
        </w:rPr>
        <w:t>月</w:t>
      </w:r>
      <w:r>
        <w:rPr>
          <w:rFonts w:hint="eastAsia" w:ascii="仿宋_GB2312" w:hAnsi="仿宋_GB2312" w:eastAsia="仿宋_GB2312"/>
          <w:color w:val="000000" w:themeColor="text1"/>
          <w:kern w:val="0"/>
          <w:sz w:val="32"/>
          <w:lang w:val="en-US" w:eastAsia="zh-CN"/>
          <w14:textFill>
            <w14:solidFill>
              <w14:schemeClr w14:val="tx1"/>
            </w14:solidFill>
          </w14:textFill>
        </w:rPr>
        <w:t>6</w:t>
      </w:r>
      <w:r>
        <w:rPr>
          <w:rFonts w:hint="default" w:ascii="仿宋_GB2312" w:hAnsi="仿宋_GB2312" w:eastAsia="仿宋_GB2312"/>
          <w:color w:val="000000" w:themeColor="text1"/>
          <w:kern w:val="0"/>
          <w:sz w:val="32"/>
          <w:lang w:val="en-US" w:eastAsia="zh-CN"/>
          <w14:textFill>
            <w14:solidFill>
              <w14:schemeClr w14:val="tx1"/>
            </w14:solidFill>
          </w14:textFill>
        </w:rPr>
        <w:t>日，但标注暂行、试</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行的文件有效期至20</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20</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年</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2</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月</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6</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日</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二、</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滕州市人民政府关于印发&lt;市国有资产经营性收入收缴管理意见&gt;的通知</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需要修改</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需要修改的市政府规范性文件，与法律、法规、规章和上级政策规定不一致的，执行法律、法规、规章和上级政策规定；其他内容继续有效，有效期至201</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8</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年</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4</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月3</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0</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日。各部门要抓紧</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修改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于有效期</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前完成修</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工作。逾期未完成修</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的，原文件自动失效。</w:t>
      </w: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三、</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滕州市人民政府关于加快“退二进三”的意见</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153</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宣布</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废止</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和失效。</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废止</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和失效</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的文件自公布之日起停止执行</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olor w:val="000000" w:themeColor="text1"/>
          <w:kern w:val="0"/>
          <w:sz w:val="32"/>
          <w:lang w:val="en-US" w:eastAsia="zh-CN"/>
          <w14:textFill>
            <w14:solidFill>
              <w14:schemeClr w14:val="tx1"/>
            </w14:solidFill>
          </w14:textFill>
        </w:rPr>
        <w:t>不再作为实施行政管理的依据。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附:市政府规范性文件目录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滕州</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年</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7</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日</w:t>
      </w:r>
    </w:p>
    <w:p>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sectPr>
          <w:footerReference r:id="rId3" w:type="default"/>
          <w:pgSz w:w="11906" w:h="16838"/>
          <w:pgMar w:top="1701" w:right="1701" w:bottom="1701" w:left="1701" w:header="851" w:footer="992" w:gutter="0"/>
          <w:pgNumType w:fmt="numberInDash"/>
          <w:cols w:space="0" w:num="1"/>
          <w:rtlGutter w:val="0"/>
          <w:docGrid w:type="lines" w:linePitch="312" w:charSpace="0"/>
        </w:sect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keepNext w:val="0"/>
        <w:keepLines w:val="0"/>
        <w:pageBreakBefore w:val="0"/>
        <w:widowControl w:val="0"/>
        <w:tabs>
          <w:tab w:val="center" w:pos="6777"/>
          <w:tab w:val="left" w:pos="11983"/>
        </w:tabs>
        <w:kinsoku/>
        <w:wordWrap/>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市政府规范性文件</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目录</w:t>
      </w:r>
    </w:p>
    <w:p>
      <w:pPr>
        <w:keepNext w:val="0"/>
        <w:keepLines w:val="0"/>
        <w:pageBreakBefore w:val="0"/>
        <w:widowControl w:val="0"/>
        <w:tabs>
          <w:tab w:val="left" w:pos="2533"/>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widowControl/>
        <w:spacing w:line="560" w:lineRule="exact"/>
        <w:ind w:firstLine="320" w:firstLineChars="100"/>
        <w:jc w:val="left"/>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继续有效的规范性文件目录</w:t>
      </w:r>
    </w:p>
    <w:tbl>
      <w:tblPr>
        <w:tblStyle w:val="7"/>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88"/>
        <w:gridCol w:w="2"/>
        <w:gridCol w:w="1"/>
        <w:gridCol w:w="7272"/>
        <w:gridCol w:w="1"/>
        <w:gridCol w:w="1"/>
        <w:gridCol w:w="289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序号</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号</w:t>
            </w:r>
          </w:p>
        </w:tc>
        <w:tc>
          <w:tcPr>
            <w:tcW w:w="727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件</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名</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称</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关于加强农业标准体系建设工作的意见</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关于加强城市规划区内园林绿化建设管理意见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35"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2003</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35号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关于解决国有企业破产终结工作问题的意见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滕政发〔2003〕81号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转发《枣庄市中小学校舍安全责任追究办法》的通知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90号</w:t>
            </w:r>
          </w:p>
        </w:tc>
        <w:tc>
          <w:tcPr>
            <w:tcW w:w="7275"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8"/>
                <w:sz w:val="24"/>
                <w:szCs w:val="24"/>
                <w:vertAlign w:val="baseline"/>
                <w:lang w:val="en-US" w:eastAsia="zh-CN"/>
                <w14:textFill>
                  <w14:solidFill>
                    <w14:schemeClr w14:val="tx1"/>
                  </w14:solidFill>
                </w14:textFill>
              </w:rPr>
              <w:t>关于建立经济开发区失地农民生活补助金制度的意见（试行）</w:t>
            </w:r>
          </w:p>
        </w:tc>
        <w:tc>
          <w:tcPr>
            <w:tcW w:w="28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t>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96号</w:t>
            </w:r>
          </w:p>
        </w:tc>
        <w:tc>
          <w:tcPr>
            <w:tcW w:w="727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关于贯彻落实《山东省计划生育技术服务管理办法》的实施意见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关于实行政府投资项目代建制的意见（试行）</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56号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关于进一步加强社会保险费征缴工作的意见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60号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关于转发《枣庄市城市基础设施配套费征收管理办法》和《枣庄市城市基础设施配套费征收管理办法》的通知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29号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3"/>
                <w:sz w:val="24"/>
                <w:szCs w:val="24"/>
                <w:vertAlign w:val="baseline"/>
                <w:lang w:val="en-US" w:eastAsia="zh-CN"/>
                <w14:textFill>
                  <w14:solidFill>
                    <w14:schemeClr w14:val="tx1"/>
                  </w14:solidFill>
                </w14:textFill>
              </w:rPr>
              <w:t>关于进一步加强建筑企业养老保险金征缴管理工作的通知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关于印发《滕州市农村五保供养工作办法》的通知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10号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关于推进农村土地承包经营权流转的实施意见</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w:t>
            </w:r>
          </w:p>
        </w:tc>
        <w:tc>
          <w:tcPr>
            <w:tcW w:w="279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18号</w:t>
            </w:r>
          </w:p>
        </w:tc>
        <w:tc>
          <w:tcPr>
            <w:tcW w:w="7274"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关于印发《滕州经济开发区扎口管理实施办法》的通知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w:t>
            </w:r>
          </w:p>
        </w:tc>
        <w:tc>
          <w:tcPr>
            <w:tcW w:w="279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31号</w:t>
            </w:r>
          </w:p>
        </w:tc>
        <w:tc>
          <w:tcPr>
            <w:tcW w:w="727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关于加强政府非税收入征收管理的意见</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36号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关于加强城市道路附属设施建设管理的意见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43号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关于进一步明确破产企业职工安置和社会保险有关问题的意见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79号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关于印发《滕州市国有土地使用权出让收支管理办法》的通知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18</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74号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关于加强出口农产品质量安全区域化建设的意见</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19</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102号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关于印发《滕州市除四害管理办法》的通知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103号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关于印发《滕州市爱国卫生工作管理规定》的通知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115号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w:t>
            </w:r>
            <w:r>
              <w:rPr>
                <w:rFonts w:hint="eastAsia" w:ascii="仿宋_GB2312" w:hAnsi="仿宋_GB2312" w:eastAsia="仿宋_GB2312" w:cs="仿宋_GB2312"/>
                <w:b w:val="0"/>
                <w:bCs w:val="0"/>
                <w:color w:val="000000" w:themeColor="text1"/>
                <w:spacing w:val="-7"/>
                <w:sz w:val="24"/>
                <w:szCs w:val="24"/>
                <w:vertAlign w:val="baseline"/>
                <w:lang w:val="en-US" w:eastAsia="zh-CN"/>
                <w14:textFill>
                  <w14:solidFill>
                    <w14:schemeClr w14:val="tx1"/>
                  </w14:solidFill>
                </w14:textFill>
              </w:rPr>
              <w:t>于印发《滕州市抚恤定补优抚对象医疗保障办法（试行）》的通知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滕政发〔2010〕36号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关于进一步加强土地矿产资源管理工作的意见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23</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关于加快推进散装水泥发展的实施意见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24</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62号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关于完善城镇职工医疗保险制度有关问题的通知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25</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84号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关于进一步加强企业安全生产工作的通知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26</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关于印发《滕州市农村公共供水管理办法》的通知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27</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滕政发〔2010〕90号</w:t>
            </w:r>
          </w:p>
        </w:tc>
        <w:tc>
          <w:tcPr>
            <w:tcW w:w="72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关于进一步加强土地管理工作的意见</w:t>
            </w:r>
          </w:p>
        </w:tc>
        <w:tc>
          <w:tcPr>
            <w:tcW w:w="28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28</w:t>
            </w:r>
          </w:p>
        </w:tc>
        <w:tc>
          <w:tcPr>
            <w:tcW w:w="279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t>关于对全市农村一女双女独生子女伤亡病残家庭参加“新农合”给予补贴的通知</w:t>
            </w:r>
          </w:p>
        </w:tc>
        <w:tc>
          <w:tcPr>
            <w:tcW w:w="2897"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29</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112号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关于印发《滕州市火车站广场管理办法》的通知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30</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16号</w:t>
            </w:r>
          </w:p>
        </w:tc>
        <w:tc>
          <w:tcPr>
            <w:tcW w:w="7273"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印发《关于加强滕州经济开发区入区企业建设管理的意见》的通知</w:t>
            </w:r>
          </w:p>
        </w:tc>
        <w:tc>
          <w:tcPr>
            <w:tcW w:w="28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关于加强林业有害生物防控工作的意见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32</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27号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关于印发《滕州市封山育林管理办法》的通知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滕政发〔2011〕46号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关于进一步加强农用地转用和土地征收前期工作的通知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滕政发〔2011〕51号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关于加快发展公共租赁住房的实施意见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滕政发〔2011〕52号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关于在新建商品住房开发项目中配建公共租赁住房的实施意见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滕政发〔2011〕65号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关于加强小型水利工程管理的意见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90号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印发《关于城市规划区临街单位合用城市绿地（人行道）开口及收费标准的管理规定》的通知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滕政发〔2011〕107号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关于加快城市拆迁项目安置区建设的意见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滕政发〔2011〕108号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关于印发《滕州市地方志工作管理办法》的通知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市史志办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滕政发〔2011〕121号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关于贯彻《山东省地方水利建设基金筹集和使用管理办法》有关问题的通知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关于印发《滕州市房屋征收储备土地上建筑物附着物残值收入管理暂行办法》的通知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关于进一步加强滕州市级土地整理开发项目管理的通知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关于进一步加强城乡建设用地增减挂钩试点和农村工地整治管理的意见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关于印发《滕州市房地产开发项目规划建设条件意见书制度》的通知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关于进一步规范城市规划建设监督管理的意见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关于进一步加强财政收支预算管理的意见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关于推进城乡环卫一体化的意见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关于贯彻落实枣政发[2012]46号文件进一步加强和改进消防工作的意见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市公安局（消防大队）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关于印发《关于解决房地产建设项目历史遗留问题的有关意见的通知》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关于推进工业项目土地供应工作的若干意见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关于规范企业房地产抵押贷款评估登记行为的意见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关于加强退役士兵职业教育和技能培训工作的实施意见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关于进一步规范房地产开发项目竣工综合验收收备案工作的通知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关于推进新型农村社区物业管理工作的实施意见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关于印发《滕州市户外广告设置管理办法》的通知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关于开展集中行政复议权工作的决定</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关于对全市60岁以上老年人参加新型农村合作医疗合作医疗费用减免的通知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关于优化营商环境的实施意见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关于印发《滕州市二次供水管理办法》的通知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60</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kern w:val="0"/>
                <w:sz w:val="24"/>
                <w:szCs w:val="24"/>
                <w:lang w:bidi="ar"/>
              </w:rPr>
              <w:t>13</w:t>
            </w:r>
            <w:r>
              <w:rPr>
                <w:rFonts w:hint="eastAsia" w:ascii="仿宋_GB2312" w:hAnsi="宋体" w:eastAsia="仿宋_GB2312" w:cs="仿宋_GB2312"/>
                <w:color w:val="000000"/>
                <w:kern w:val="0"/>
                <w:sz w:val="24"/>
                <w:szCs w:val="24"/>
                <w:lang w:eastAsia="zh-CN" w:bidi="ar"/>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关于进一步优化金融生态环境的意见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61</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15</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关于对先行建设违法用地补办供地手续的意见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62</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17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关于加快社会养老服务体系建设的意见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63</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20</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关于进一步推进节约集约用地的实施意见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64</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41</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关于印发《滨湖镇土地收储工作实施意见》的通知</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65</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50</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关于对已取得土地的先行建设项目补办建设工程规划许可手续的意见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66</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56</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关于进一步加强职工互助医疗保障活动的意见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67</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59</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关于做好城市规划区内国有土地使用权收回（收购）工作的意见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68</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关于在全市推行行政权力清单制度的通知</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69</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66</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关于加强城区道路交通车辆管理的意见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70</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79</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关于加快电子商务发展的意见</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市旅服局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71</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85</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关于印发《滕州市水利工程管理办法》的通知</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72</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88</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关于印发《滕州市级行政审批事项目录清单》的通知</w:t>
            </w:r>
          </w:p>
        </w:tc>
        <w:tc>
          <w:tcPr>
            <w:tcW w:w="2900"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关于进一步规范城乡建设用地增减挂钩试点工作的意见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印发《滕州市小型水利工程建设管理办法》的通知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关于公布滕州市级行政权力清单的通知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关于建立居民基本养老保险制度的实施意见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关于做好农民专业合作社信用互助业务试点工作的实施意见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关于公布市级政府部门责任清单有关事宜的通知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关于公布市直印发（单位）行政审批中介服务收费项目清单的通知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关于进一步落实涉河建筑物管养权限的通知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关于印发《滕州市住宅小区房屋登记历史遗留问题专项治理工作实施细则》的通知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关于加快发展</w:t>
            </w:r>
            <w:r>
              <w:rPr>
                <w:rFonts w:hint="eastAsia" w:ascii="仿宋_GB2312" w:hAnsi="仿宋_GB2312" w:eastAsia="仿宋_GB2312" w:cs="仿宋_GB2312"/>
                <w:color w:val="000000" w:themeColor="text1"/>
                <w:sz w:val="24"/>
                <w:szCs w:val="24"/>
                <w:lang w:eastAsia="zh-CN"/>
                <w14:textFill>
                  <w14:solidFill>
                    <w14:schemeClr w14:val="tx1"/>
                  </w14:solidFill>
                </w14:textFill>
              </w:rPr>
              <w:t>养老服务业的意见</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滕州市建设项目交通影响评价管理办法的通知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关于调整行政审批事项目录清单和行政权力清单的通知</w:t>
            </w:r>
          </w:p>
        </w:tc>
        <w:tc>
          <w:tcPr>
            <w:tcW w:w="2900"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关于印发《滕州市社会救助办法》的通知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关于印发《滕州市科技创新专项资金管理暂行办法》的通知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关于加快电子商务发展的意见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关于印发《滕州市农村生活污水治理工作实施意见》的通知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关于印发《滕州市国有土地上房屋征收与补偿实施意见》的通知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关于印发《滕州市国有土地上房屋征收范围内未经登记的建筑调查认定处理实施细则》的通知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关于印发《滕州市国有土地上房屋征收与补偿工作规程》的通知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关于印发《滕州市“城中村”集体土地上房屋搬迁补偿办法》的通知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关于印发《滕州市棚户区改造货币化安置实施意见》的通知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关于加快发展体育产业促进体育消费的实施意见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关于调整市直部门（单位）行政审批中介服务收费项目清单的通知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关于进一步加强城市建筑垃圾管理工作的实施意见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关于印发《滕州市城市建筑垃圾管理工作细则》的通知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关于进一步完善现代职业教育体系的意见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关于2016年第一批调整行政权力清单的通知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关于加快推进装修住宅建设的意见</w:t>
            </w:r>
            <w:r>
              <w:rPr>
                <w:rFonts w:hint="eastAsia" w:ascii="仿宋_GB2312" w:hAnsi="仿宋_GB2312" w:eastAsia="仿宋_GB2312" w:cs="仿宋_GB2312"/>
                <w:color w:val="000000" w:themeColor="text1"/>
                <w:sz w:val="24"/>
                <w:szCs w:val="24"/>
                <w:lang w:eastAsia="zh-CN"/>
                <w14:textFill>
                  <w14:solidFill>
                    <w14:schemeClr w14:val="tx1"/>
                  </w14:solidFill>
                </w14:textFill>
              </w:rPr>
              <w:t>（试行）</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关于印发《滕州市人民政府重大行政决策程序规定》的通知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关于印发《滕州市农村环境综合整治工作实施方案》的通知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关于进一步做好未经登记建筑调查认定处理工作的补充意见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关于工业供水综合水价改革的意见</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关于2016年第二批调整行政权力清单的通知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关于公布市政府规范性文件清理结果的决定</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滕政办发〔2003〕13号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关于印发《市国土资源局等单位贯彻&lt;枣庄市国有土地租赁办法&gt;的实施意见》的通知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滕政办发〔2003〕99号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关于印发《滕州市人口与计划生育公益金管理办法》的通知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109</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t>滕政办发〔2003〕119号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印发《关于完善破产企业职工社会保险手续的意见》的通知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110</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滕政办发〔2005〕83号</w:t>
            </w:r>
          </w:p>
        </w:tc>
        <w:tc>
          <w:tcPr>
            <w:tcW w:w="7275"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转发《滕州经济开发区管委会关于完善区内企业建设手续意见》的通知</w:t>
            </w:r>
          </w:p>
        </w:tc>
        <w:tc>
          <w:tcPr>
            <w:tcW w:w="29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30号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关于印发《滕州市劳动模范评选管理办法》的通知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滕政办发〔2008〕40号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关于印发《滕州市公共场所禁止吸烟规定》的通知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113</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86号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关于印发《滕州市农村敬老院管理服务暂行办法》的通知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114</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vertAlign w:val="baseline"/>
                <w:lang w:val="en-US" w:eastAsia="zh-CN"/>
                <w14:textFill>
                  <w14:solidFill>
                    <w14:schemeClr w14:val="tx1"/>
                  </w14:solidFill>
                </w14:textFill>
              </w:rPr>
              <w:t>滕政办发〔2008〕112号</w:t>
            </w:r>
          </w:p>
        </w:tc>
        <w:tc>
          <w:tcPr>
            <w:tcW w:w="727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关于印发《滕州市关于加强城镇社区和农村安全网络建设工作的意见》的通知</w:t>
            </w:r>
          </w:p>
        </w:tc>
        <w:tc>
          <w:tcPr>
            <w:tcW w:w="2900"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滕政办发〔2010〕39号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关于调整我市国有土地租金征收标准的通知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116</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64号</w:t>
            </w:r>
          </w:p>
        </w:tc>
        <w:tc>
          <w:tcPr>
            <w:tcW w:w="7273"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关于推进住宅产业化提高住宅品质的实施意见</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117</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滕政办发〔2010〕85号</w:t>
            </w:r>
          </w:p>
        </w:tc>
        <w:tc>
          <w:tcPr>
            <w:tcW w:w="727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关于进一步加快我市存量公有住房出售解决房改遗留问题的通知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118</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关于在城市规划区内禁止现场搅拌混凝土的通知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119</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转发《市经信局、财政局、住建局关于做好农村推广散装水泥工作意见》的通知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120</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14号</w:t>
            </w:r>
          </w:p>
        </w:tc>
        <w:tc>
          <w:tcPr>
            <w:tcW w:w="727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关于进一步做好控制义务教育阶段学生辍学工作的通知</w:t>
            </w:r>
          </w:p>
        </w:tc>
        <w:tc>
          <w:tcPr>
            <w:tcW w:w="2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关于加快城镇居住区邮政信报箱建设管理工作的意见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市邮政局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122</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滕政办发〔2011〕93号</w:t>
            </w:r>
          </w:p>
        </w:tc>
        <w:tc>
          <w:tcPr>
            <w:tcW w:w="727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关于印发《滕州市地下管线规划建设管理办法》的通知</w:t>
            </w:r>
          </w:p>
        </w:tc>
        <w:tc>
          <w:tcPr>
            <w:tcW w:w="2898"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123</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t>滕政办发〔2011〕141号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关于印发《滕州市城市建设档案管理办法》的通知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关于推进全市义务教育均衡发展的意见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关于做好全市消除麻疹工作的通知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关于加强村卫生室和乡村医生队伍建设的实施意见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关于进一步加强森林防火能力建设的实施意见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关于进一步加强和改进劳动保障监察工作的实施意见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关于印发《滕州市市级行政许可事项一口收费管理办法》的通知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关于加强气象灾害监测预警及信息发布工作的实施意见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关于印发《滕州市新建小区配套建设体育设施的实施意见》的通知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关于进一步加强镇（街）农产品质量安全监管工作的通知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关于建立城区住宅小区配套幼儿园长效管理机制的通知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149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关于开展美丽乡村创建试点活动的实施意见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135</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25</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关于创建创业型镇街创业型社区工作的通知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136</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57</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关于提高城乡居民最低生活保障和五保供养标准的通知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137</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70</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关于规范镇域燃气市场管理工作的通知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138</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81</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关于转发《市总工会关于开展“爱我滕州”职工志愿服务活动的实施意见》的通知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139</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99</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top"/>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关于印发《滕州市城区机动车停放服务收费管理实施方案》的通知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140</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102</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关于印发《数字滕州地理空间框架建设使用与管理办法》的通知</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141</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108</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top"/>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关于加快我市建筑节能与结构一体化技术应用工作的意见</w:t>
            </w:r>
          </w:p>
        </w:tc>
        <w:tc>
          <w:tcPr>
            <w:tcW w:w="2896"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关于贯彻落实枣政办发﹝2014﹞39号文件精神促进煤炭行业平稳运行的意见</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关于调整城镇职工医疗保险个人账户金划拨办法的通知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关于滕州马铃薯省级农业科技园区建设的意见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关于在全市执行应用预拌砂浆和城区限期禁止现场搅拌砂浆的通知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关于印发“滕州和谐使者”选拔管理办法的通知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关于进一步加强村（居）红白理事会建设开展移风易俗活动的通知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关于学习环卫保洁“中卫经验”进一步加强城市精细化管理的通知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关于提高农村居民最低生活保障补助标准的通知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关于印发《滕州市中小学校责任督学挂牌督导工作规程（试行）》的通知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134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转发市人防办等四部门关于加强新建民用建筑地下防空设施的通知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关于加强安全环保节能管理加快全市化工产业转型的意见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153</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关于印发《滕州市政务服务惠民网络体系建设实施意见》的通知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154</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14:textFill>
                  <w14:solidFill>
                    <w14:schemeClr w14:val="tx1"/>
                  </w14:solidFill>
                </w14:textFill>
              </w:rPr>
              <w:t>关于印发《滕州市中小企业公共服务平台运营管理绩效考评暂行办法》的通知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市经信局（中小企业局）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155</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关于明确部分化工危险化学品和医药加工企业安全监管责任的通知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关于严厉打击盗采矿产资源违法行为的通知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关于进一步加强乡村医生队伍建设的实施意见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关于印发《滕州市林地经营权流转证发证管理办法（试行）》的通知</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关于推进机关企事业单位厕所免费对外开放的通知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160</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关于加强全市电梯安全管理的意见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161</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关于建立年度全市1%人口抽样调查制度的通知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162</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关于印发《滕州市生产安全事故报告、案审和公示暂行规定》的通知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163</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87</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pacing w:val="-6"/>
                <w:sz w:val="24"/>
                <w:szCs w:val="24"/>
              </w:rPr>
              <w:t>关于城区住宅小区规划红线内供热设施移交供热企业管理使用的通知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164</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96</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关于印发《滕州市流动儿童免疫规划管理办法》的通知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165</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98</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关于进一步做好建筑企业养老保障金管理工作的通知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166</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101</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关于进一步加强职业病防治工作的通知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167</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104</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关于进一步做好农村土地承包管理工作的通知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市经管局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168</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108</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关于印发《滕州市集中供热管理实施办法》的通知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169</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121</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关于加快推进全市煤炭清洁高效利用工作的实施意见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市煤炭局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170</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122</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关于印发《滕州市大气污染防治技术</w:t>
            </w:r>
            <w:r>
              <w:rPr>
                <w:rFonts w:hint="eastAsia" w:ascii="仿宋_GB2312" w:hAnsi="仿宋_GB2312" w:eastAsia="仿宋_GB2312" w:cs="仿宋_GB2312"/>
                <w:sz w:val="24"/>
                <w:szCs w:val="24"/>
                <w:lang w:eastAsia="zh-CN"/>
              </w:rPr>
              <w:t>导</w:t>
            </w:r>
            <w:r>
              <w:rPr>
                <w:rFonts w:hint="eastAsia" w:ascii="仿宋_GB2312" w:hAnsi="仿宋_GB2312" w:eastAsia="仿宋_GB2312" w:cs="仿宋_GB2312"/>
                <w:sz w:val="24"/>
                <w:szCs w:val="24"/>
              </w:rPr>
              <w:t>则》的通知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171</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auto"/>
                <w:sz w:val="24"/>
                <w:szCs w:val="24"/>
              </w:rPr>
              <w:t>123</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关于加快电子政务集约化发展的实施意见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color w:val="auto"/>
                <w:sz w:val="24"/>
                <w:szCs w:val="24"/>
                <w:lang w:eastAsia="zh-CN"/>
              </w:rPr>
              <w:t>信息化服务中心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172</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131</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关于统筹整合使用财政涉农资金支持脱贫攻坚的意见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173</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137</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关于进一步规范社会抚养费征收管理有关问题的通知</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174</w:t>
            </w:r>
          </w:p>
        </w:tc>
        <w:tc>
          <w:tcPr>
            <w:tcW w:w="2790"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eastAsia="zh-CN"/>
              </w:rPr>
              <w:t>号</w:t>
            </w:r>
          </w:p>
        </w:tc>
        <w:tc>
          <w:tcPr>
            <w:tcW w:w="7275"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关于推进分级诊疗制度建设的实施意见</w:t>
            </w:r>
          </w:p>
        </w:tc>
        <w:tc>
          <w:tcPr>
            <w:tcW w:w="289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560" w:lineRule="exact"/>
        <w:ind w:left="0" w:leftChars="0" w:right="0" w:rightChars="0" w:firstLine="320" w:firstLineChars="1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二、需要修改的规范性文件目录</w:t>
      </w:r>
    </w:p>
    <w:tbl>
      <w:tblPr>
        <w:tblStyle w:val="7"/>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88"/>
        <w:gridCol w:w="2"/>
        <w:gridCol w:w="7273"/>
        <w:gridCol w:w="2"/>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序号</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号</w:t>
            </w:r>
          </w:p>
        </w:tc>
        <w:tc>
          <w:tcPr>
            <w:tcW w:w="72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件</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名</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称</w:t>
            </w:r>
          </w:p>
        </w:tc>
        <w:tc>
          <w:tcPr>
            <w:tcW w:w="29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修改责任部门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2003</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37号</w:t>
            </w:r>
          </w:p>
        </w:tc>
        <w:tc>
          <w:tcPr>
            <w:tcW w:w="72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关于印发《市国有资产经营性收入收缴管理意见》的通知</w:t>
            </w:r>
          </w:p>
        </w:tc>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54号</w:t>
            </w:r>
          </w:p>
        </w:tc>
        <w:tc>
          <w:tcPr>
            <w:tcW w:w="72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关于加强国有资产监督管理的意见</w:t>
            </w:r>
          </w:p>
        </w:tc>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关于加快建筑业改革和发展的意见</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2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29号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关于印发《滕州市生产安全事故隐患排查治理办法》的通知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117号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w:t>
            </w:r>
            <w:r>
              <w:rPr>
                <w:rFonts w:hint="eastAsia" w:ascii="仿宋_GB2312" w:hAnsi="仿宋_GB2312" w:eastAsia="仿宋_GB2312" w:cs="仿宋_GB2312"/>
                <w:b w:val="0"/>
                <w:bCs w:val="0"/>
                <w:color w:val="000000" w:themeColor="text1"/>
                <w:spacing w:val="-7"/>
                <w:sz w:val="24"/>
                <w:szCs w:val="24"/>
                <w:vertAlign w:val="baseline"/>
                <w:lang w:val="en-US" w:eastAsia="zh-CN"/>
                <w14:textFill>
                  <w14:solidFill>
                    <w14:schemeClr w14:val="tx1"/>
                  </w14:solidFill>
                </w14:textFill>
              </w:rPr>
              <w:t>于印发《滕州市工程建设各方主体安全行为规范暂行规定》的通知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滕政发〔2011〕128号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关于印发《滕州市高铁东站站前广场管理暂行办法》的通知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高铁新区管委会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关于印发《关于简化建设工程招投标、政府采购程序的暂行规定》的通知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市建工局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关于进一步加强和规范统计基层基础工作的意见</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关于印发《滕州市城区扬尘污染防治实施办法》的通知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关于印发《滕州市城市规划管理技术规定（试行）》的通知</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27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关于规范城乡建设及三产服务业项目优惠政策审核工作的意见</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关于规范棚户区改造项目投资建设的意见</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83</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关于印发《滕州市城市景观亮化管理实施办法》的通知</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14</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关于贯彻落实《计量发展规划（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2013-2020</w:t>
            </w:r>
            <w:r>
              <w:rPr>
                <w:rFonts w:hint="eastAsia" w:ascii="仿宋_GB2312" w:hAnsi="仿宋_GB2312" w:eastAsia="仿宋_GB2312" w:cs="仿宋_GB2312"/>
                <w:color w:val="000000" w:themeColor="text1"/>
                <w:sz w:val="24"/>
                <w:szCs w:val="24"/>
                <w:lang w:eastAsia="zh-CN"/>
                <w14:textFill>
                  <w14:solidFill>
                    <w14:schemeClr w14:val="tx1"/>
                  </w14:solidFill>
                </w14:textFill>
              </w:rPr>
              <w:t>）》的实施意见</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15</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关于建立全市企业信用档案的通知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16</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关于进一步做好城市亮化工作的通知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17</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关于印发《滕州市棚户区改造项目国家开发银行贷款资金管理暂行办法》的通知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18</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关于印发《滕州市行政权力清单动态管理办法》的通知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19</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关于加快质量强市建设工作的意见</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关于印发《滕州市“门前三包”责任制管理办法》的通知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21</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关于印发《滕州市安全生产举报受理及奖励办法》的通知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4"/>
                <w:szCs w:val="24"/>
                <w:vertAlign w:val="baseline"/>
                <w:lang w:val="en-US" w:eastAsia="zh-CN"/>
                <w14:textFill>
                  <w14:solidFill>
                    <w14:schemeClr w14:val="tx1"/>
                  </w14:solidFill>
                </w14:textFill>
              </w:rPr>
              <w:t>滕政办发〔2011〕128号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24"/>
                <w:szCs w:val="24"/>
                <w:vertAlign w:val="baseline"/>
                <w:lang w:val="en-US" w:eastAsia="zh-CN"/>
                <w14:textFill>
                  <w14:solidFill>
                    <w14:schemeClr w14:val="tx1"/>
                  </w14:solidFill>
                </w14:textFill>
              </w:rPr>
              <w:t>关于印发《滕州市项目储备库建设与管理实施办法（暂行）》的通知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23</w:t>
            </w:r>
          </w:p>
        </w:tc>
        <w:tc>
          <w:tcPr>
            <w:tcW w:w="27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4"/>
                <w:szCs w:val="24"/>
                <w:vertAlign w:val="baseline"/>
                <w:lang w:val="en-US" w:eastAsia="zh-CN"/>
                <w14:textFill>
                  <w14:solidFill>
                    <w14:schemeClr w14:val="tx1"/>
                  </w14:solidFill>
                </w14:textFill>
              </w:rPr>
              <w:t>滕政办发〔2011〕129号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关于印发《&lt;固定资产投资项目节能评估和审查暂行办法&gt;实施细则（试行）》的通知</w:t>
            </w:r>
          </w:p>
        </w:tc>
        <w:tc>
          <w:tcPr>
            <w:tcW w:w="29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24</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52</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关于印发《滕州市民间融资登记服务公司管理暂行办法》的通知</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25</w:t>
            </w:r>
          </w:p>
        </w:tc>
        <w:tc>
          <w:tcPr>
            <w:tcW w:w="2790" w:type="dxa"/>
            <w:gridSpan w:val="2"/>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53</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2"/>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关于印发《滕州市民间资本管理公司管理暂行办法》的通知</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26</w:t>
            </w:r>
          </w:p>
        </w:tc>
        <w:tc>
          <w:tcPr>
            <w:tcW w:w="279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7275"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关于房地产开发项目选用品牌电梯的通知</w:t>
            </w:r>
          </w:p>
        </w:tc>
        <w:tc>
          <w:tcPr>
            <w:tcW w:w="29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27</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关于改造城区市场</w:t>
            </w:r>
            <w:r>
              <w:rPr>
                <w:rFonts w:hint="eastAsia" w:ascii="仿宋_GB2312" w:hAnsi="仿宋_GB2312" w:eastAsia="仿宋_GB2312" w:cs="仿宋_GB2312"/>
                <w:color w:val="000000" w:themeColor="text1"/>
                <w:sz w:val="24"/>
                <w:szCs w:val="24"/>
                <w:lang w:eastAsia="zh-CN"/>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公</w:t>
            </w:r>
            <w:r>
              <w:rPr>
                <w:rFonts w:hint="eastAsia" w:ascii="仿宋_GB2312" w:hAnsi="仿宋_GB2312" w:eastAsia="仿宋_GB2312" w:cs="仿宋_GB2312"/>
                <w:color w:val="000000" w:themeColor="text1"/>
                <w:sz w:val="24"/>
                <w:szCs w:val="24"/>
                <w:lang w:eastAsia="zh-CN"/>
                <w14:textFill>
                  <w14:solidFill>
                    <w14:schemeClr w14:val="tx1"/>
                  </w14:solidFill>
                </w14:textFill>
              </w:rPr>
              <w:t>共</w:t>
            </w:r>
            <w:r>
              <w:rPr>
                <w:rFonts w:hint="eastAsia" w:ascii="仿宋_GB2312" w:hAnsi="仿宋_GB2312" w:eastAsia="仿宋_GB2312" w:cs="仿宋_GB2312"/>
                <w:color w:val="000000" w:themeColor="text1"/>
                <w:sz w:val="24"/>
                <w:szCs w:val="24"/>
                <w14:textFill>
                  <w14:solidFill>
                    <w14:schemeClr w14:val="tx1"/>
                  </w14:solidFill>
                </w14:textFill>
              </w:rPr>
              <w:t>厕</w:t>
            </w:r>
            <w:r>
              <w:rPr>
                <w:rFonts w:hint="eastAsia" w:ascii="仿宋_GB2312" w:hAnsi="仿宋_GB2312" w:eastAsia="仿宋_GB2312" w:cs="仿宋_GB2312"/>
                <w:color w:val="000000" w:themeColor="text1"/>
                <w:sz w:val="24"/>
                <w:szCs w:val="24"/>
                <w:lang w:eastAsia="zh-CN"/>
                <w14:textFill>
                  <w14:solidFill>
                    <w14:schemeClr w14:val="tx1"/>
                  </w14:solidFill>
                </w14:textFill>
              </w:rPr>
              <w:t>所</w:t>
            </w:r>
            <w:r>
              <w:rPr>
                <w:rFonts w:hint="eastAsia" w:ascii="仿宋_GB2312" w:hAnsi="仿宋_GB2312" w:eastAsia="仿宋_GB2312" w:cs="仿宋_GB2312"/>
                <w:color w:val="000000" w:themeColor="text1"/>
                <w:sz w:val="24"/>
                <w:szCs w:val="24"/>
                <w14:textFill>
                  <w14:solidFill>
                    <w14:schemeClr w14:val="tx1"/>
                  </w14:solidFill>
                </w14:textFill>
              </w:rPr>
              <w:t>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28</w:t>
            </w:r>
          </w:p>
        </w:tc>
        <w:tc>
          <w:tcPr>
            <w:tcW w:w="27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关于进一步办理城区环境卫生管理的通知</w:t>
            </w:r>
          </w:p>
        </w:tc>
        <w:tc>
          <w:tcPr>
            <w:tcW w:w="2934"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560" w:lineRule="exact"/>
        <w:ind w:leftChars="0" w:right="0" w:rightChars="0" w:firstLine="320" w:firstLineChars="1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三、宣布废止和失效的规范性文件目录</w:t>
      </w:r>
    </w:p>
    <w:tbl>
      <w:tblPr>
        <w:tblStyle w:val="7"/>
        <w:tblW w:w="13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12"/>
        <w:gridCol w:w="10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序号</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文</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号</w:t>
            </w:r>
          </w:p>
        </w:tc>
        <w:tc>
          <w:tcPr>
            <w:tcW w:w="10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文</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件</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名</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滕政发〔2003〕38号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关于加快“退二进三”的意见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2004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42号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关于印发《滕州市重点项目管理办法》的通知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7号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关于贯彻《枣庄市城镇退役士兵安置任务有偿转移暂行办法》的通知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61号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关于开展城区居民已建房屋土地使用权审核确认和房屋所有权验证工作的意见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17号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于印发《滕州市机械制造工业园招商引资及入园优惠政策》的通知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6号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关于加快供销社改革发展服务社会主义新农村建设的意见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15号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关于严禁城市规划区内违法建设的管理意见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关于进一步加强对外经济合作工作的意见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26号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关于进一步加强地方税源控管工作的通知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128号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关于印发《滕州市新兴路步行街管理办法》的通知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137号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关于促进全市乡村旅游发展的意见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138号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关于印发《滕州市乡村旅游“五朵金花”建设实施》的通知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139号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关于印发《滕州市开发乡村旅游以奖代补标准》的通知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50号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关于加快机械制造业高层次人才引进的意见（试行）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70号</w:t>
            </w:r>
          </w:p>
        </w:tc>
        <w:tc>
          <w:tcPr>
            <w:tcW w:w="101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关于深化农村土地使用产权制度改革的实施意见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16</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80号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关于印发《滕州市商品房预售款监督管理办法》的通知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关于加快土地供应提升节约集约用地水平的实施意见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关于加强红十字会工作的意见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关于印发《关于征收范围内未经登记建筑调查认定处理意见》的通知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关于调整国有土地上房屋征收附属物等补偿标准的通知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关于加快发展现代畜牧业的意见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关于开展“全省村级公路网化示范县”创建活动的实施意见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关于对重点排污单位实施限期治理的意见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关于印发《滕州市优待老年人规定》的通知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关于对先行建设违法用地办理供地手续的意见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关于加快森林公园发展的意见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关于重新公布市级行政处罚主体的通知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64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关于进一步加强矿山安全生产工作的意见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关于印发《滕州市重大投资项目审批服务管理暂行办法》的通知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关于转发省政府《关于开展“百镇建设示范行动”加快推进小城镇建设发展意见》的通知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关于印发《滕州市实施工业经济转型升级“双十双百”工程评选办法（试行）》的通知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关于贯彻鲁政发[2012]28号文件支持小型微型企业健康发展的实施意见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关于集中清理部分企业违法建筑完善房屋登记手续的意见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关于全面推进供销社改革发展的意见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关于进一步加强出生人口性别比综合治理工作的通知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关于创建大项目产业集群发展金融示范区的实施意见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关于印发《滕州市银行业金融机构考核奖励办法》的通知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关于鼓励异地银行金融机构来我市设立分支机构优惠政策的通知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关于实施放心粮油工程的意见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关于进一步加强地方税收保障工作的实施意见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关于加快推进商标战略促进品牌建设工作的通知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关于提高城乡居民基本养老保险基础养老金标准的通知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关于扶持现代农业产业发展的意见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关于印发《滕州市建设项目交通影响评价管理办法（</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试</w:t>
            </w:r>
            <w:r>
              <w:rPr>
                <w:rFonts w:hint="eastAsia" w:ascii="仿宋_GB2312" w:hAnsi="仿宋_GB2312" w:eastAsia="仿宋_GB2312" w:cs="仿宋_GB2312"/>
                <w:color w:val="000000" w:themeColor="text1"/>
                <w:spacing w:val="0"/>
                <w:sz w:val="24"/>
                <w:szCs w:val="24"/>
                <w14:textFill>
                  <w14:solidFill>
                    <w14:schemeClr w14:val="tx1"/>
                  </w14:solidFill>
                </w14:textFill>
              </w:rPr>
              <w:t>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关于印发《滕州市生活无着流浪乞讨救治救助办法》的通知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关于进一步加强土地执法监察工作的意见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关于实施优质中小微企业培育计划的意见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关于进一步加强酒类流通管理工作的意见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关于进一步加强和推进节约集约用地制度的实施意见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关于印发《滕州市国有土地上国有和集体所有房屋征收补偿意见（试行）》的通知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关于印发《滕州市创建山东省教育工作示范县实施意见》的通知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关于印发《滕州市农村宅基地确权登记发证工作实施细则》的通知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关于印发《滕州市公共餐饮具集中消毒卫生管理办法》的通知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关于印发《滕州市学生小</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饭</w:t>
            </w:r>
            <w:r>
              <w:rPr>
                <w:rFonts w:hint="eastAsia" w:ascii="仿宋_GB2312" w:hAnsi="仿宋_GB2312" w:eastAsia="仿宋_GB2312" w:cs="仿宋_GB2312"/>
                <w:color w:val="000000" w:themeColor="text1"/>
                <w:spacing w:val="0"/>
                <w:sz w:val="24"/>
                <w:szCs w:val="24"/>
                <w14:textFill>
                  <w14:solidFill>
                    <w14:schemeClr w14:val="tx1"/>
                  </w14:solidFill>
                </w14:textFill>
              </w:rPr>
              <w:t>桌食品安全监督管理暂行办法》的通知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印发《滕州市农田水利基本建设项目考核奖励意见》的通知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关于实行创卫区域网格化帮包责任制的实施意见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关于印发《滕州市建设工程规划批后管理办法》的通知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关于明确城市建成区内市政园林设施养护管理责任的实施意见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关于理顺环境卫生管理责任的实施意见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关于印发《滕州市公共租赁住房配租管理实施细则（试行）》的通知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关于印发《滕州市行政处罚网上运行和电子监管系统管理试行办法》的通知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关于进一步发挥工商行政管理职能优化市场环境的意见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tabs>
                <w:tab w:val="left" w:pos="136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关于印发《滕州市城镇燃气管理办法》的通知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关于印发《滕州市乡村旅游发展扶持奖励办法》的通知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65</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5</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关于印发《滕州市建设工程规划批前管理暂行规定》的通知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66</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9</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关于印发《滕州市重点水库管理暂行办法》的通知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67</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关于印发《滕州市引进三产服务业项目评审办法（试行）》的通知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68</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12</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关于印发《滕州市高铁新区招商项目评审办法（试行）》的通知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69</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关于印发《滕州市引进工业项目评审办法（试行）》的通知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70</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21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关于印发《滕州市农村宅基地管理办法》的通知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71</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31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关于进一步加强防震减灾工作的实施意见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72</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38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关于公布城镇土地收储与基准地价更新成果的通知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73</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43</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关于推进公共租赁住房和廉租住房并轨的实施意见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74</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53</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关于印发《关于国有土地上房屋征收范围内未经登记的建筑调查认定处理补充意见》的通知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75</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60</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关于推进集体土地范围内房屋登记工作的指导意见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76</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61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关于印发《滕州市集体土地范围内房屋登记细则》的通知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77</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关于印发《滕州市机动车停放管理暂行办法》的通知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78</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74</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关于加强企业管理创新促进转型升级的意见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79</w:t>
            </w:r>
          </w:p>
        </w:tc>
        <w:tc>
          <w:tcPr>
            <w:tcW w:w="2812" w:type="dxa"/>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78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关于印发《滕州市财政还贷周转金使用管理暂行办法》的通知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sz w:val="24"/>
                <w:szCs w:val="24"/>
                <w14:textFill>
                  <w14:solidFill>
                    <w14:schemeClr w14:val="tx1"/>
                  </w14:solidFill>
                </w14:textFill>
              </w:rPr>
              <w:t>关于促进外贸稳定增长的实施意见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关于印发进一步加强生态保护工作的意见的通知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关于实施粮食生产能力提升“332211”工程的意见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关于印发《滕州市行政审地事项目管理办法》的通知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关于进一步做好建成燃煤锅炉取缔工作的通知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关于印发《滕州市中小</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企业</w:t>
            </w:r>
            <w:r>
              <w:rPr>
                <w:rFonts w:hint="eastAsia" w:ascii="仿宋_GB2312" w:hAnsi="仿宋_GB2312" w:eastAsia="仿宋_GB2312" w:cs="仿宋_GB2312"/>
                <w:color w:val="000000" w:themeColor="text1"/>
                <w:spacing w:val="0"/>
                <w:sz w:val="24"/>
                <w:szCs w:val="24"/>
                <w14:textFill>
                  <w14:solidFill>
                    <w14:schemeClr w14:val="tx1"/>
                  </w14:solidFill>
                </w14:textFill>
              </w:rPr>
              <w:t>公共服务平台运营管理暂行办法》的通知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关于积极利用财政金融政策促投资稳增长的意见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关于促进全市房地产市场平稳健康发展的意见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关于加快推进建筑产业现代化发展的指导意见（试行）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关于印发《加强环境保护工作的实施意见》的通知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关于新建房地产项目减免基础设施配套费的通知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关于进一步加快推进企业上市（挂牌）工作的意见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关于加快推动全市股份制改制工作的意见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关于推进“先证后照”改革加强事中事后监管的实施意见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滕政办发〔2002〕12号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关于大力发展绿色无公害蔬菜生产的意见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95</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28号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关于加强全市散装水泥专项资金征收和预算管理的通知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96</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关于印发《滕州市下岗失业人员小额担保贷款实施办法》的通知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滕政办发〔2007〕74号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关于确保聘任制教师工资正常发放的通知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98</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38号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关于进一步加强地方建筑材料管理工作的通知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滕政办发〔2009〕157号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关于印发滕州市安全生产责任保险试点工作方案的通知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滕政办发〔2010〕103号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关于深化学校内部管理体制改革的通知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101</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滕政办发〔2010〕126号</w:t>
            </w:r>
          </w:p>
        </w:tc>
        <w:tc>
          <w:tcPr>
            <w:tcW w:w="1015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关于印发《滕州市农村土地使用产权制度改革试点合作社审计办法》的通知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102</w:t>
            </w:r>
          </w:p>
        </w:tc>
        <w:tc>
          <w:tcPr>
            <w:tcW w:w="2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滕政办发〔2011〕120号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关于印发《滕州市煤矿安全生产工作约谈制度（试行）》的通知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关于印发《外地入滕建筑业企业管理办法》的通知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转发《市人社局、市财政局关于调整城镇基本医疗保险政策》的通知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关于完善老旧小区体育健身设施的通知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关于转发枣安发[2012]31号文件进一步加强道路交通安全工作的通知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关于提高城乡居民最低生活保障和五保供养标准的通知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关于开展土小企业（作坊）清理取缔活动的通知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关于转发枣安办发[2012]25号文件进一步加强水上和道路交通安全监管的通知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关于印发《滕州市市政基础设施工程质量监督管理办法》的通知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关于认真做好企业研发费用加计扣除工作的通知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关于加强布鲁氏菌病防控工作的通知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关于对土小企业及其他环境违法企业实施停限电的通知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关于进一步加强食品安全工作的通知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关于进一步加快发展玉米收获秸秆还田及经济作物机械化工作的意见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关于争取水污染防治中央预算内补助资金和集中支持资金办理污水管网建设手续等有关工作的通知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关于印发扶持国家火炬计划滕州机床产业基地发展办法的通知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印发《关于滕州市廉租住房保障有关问题的补充规定》的通知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关于印发《滕州市医疗纠纷处置办法》的通知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关于建立安全生产网格化监管体系的实施意见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关于印发《滕州市农民工参加社会保险的意见（试行）》的通知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关于推动绿色建筑发展的实施意见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关于清理企业违法建筑完善确权手续的意见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66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关于发布《滕州市城乡居民家庭经济状况核对和认定事实细则（试行）》的通知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关于开展滕州市系列地图修编认刊的通知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关于开展全市危险化学品运输车辆事故综合应急救援演练工作的通知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关于提高城乡居民最低生活保障保准的通知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关于加快推进全市储煤场综合整治工作的通知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关于进一步加强三上企业入库统计工作的通知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关于做好城乡住户调查一体化改革工作的通知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关于开展乡村旅游放厕改厕工作的通知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132</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12</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关于印发《滕州市畜禽养殖布局规划方案》的通知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133</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20</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关于进一步加强H7N9禽流感防控工作的通知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134</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33</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u w:val="none" w:color="000000"/>
                <w14:textFill>
                  <w14:solidFill>
                    <w14:schemeClr w14:val="tx1"/>
                  </w14:solidFill>
                </w14:textFill>
              </w:rPr>
              <w:t>关于进一步加强突发事件应急处置工作的通知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135</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37</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关于印发滕州市黄标车提前淘汰补贴实施办法的通知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136</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50</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关于加快推进“i—Tengzhou”无线宽带免费体验区建设的通知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137</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73</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0"/>
                <w:kern w:val="0"/>
                <w:sz w:val="24"/>
                <w:szCs w:val="24"/>
                <w14:textFill>
                  <w14:solidFill>
                    <w14:schemeClr w14:val="tx1"/>
                  </w14:solidFill>
                </w14:textFill>
              </w:rPr>
              <w:t>关于转发《枣庄市人民政府关于加强和改进最低生活保障工作的实施意见》的通知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138</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75</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0"/>
                <w:kern w:val="0"/>
                <w:sz w:val="24"/>
                <w:szCs w:val="24"/>
                <w14:textFill>
                  <w14:solidFill>
                    <w14:schemeClr w14:val="tx1"/>
                  </w14:solidFill>
                </w14:textFill>
              </w:rPr>
              <w:t>关于开展全市非融资性担保公司清理规范工作的通知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139</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97</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关于认真贯彻落实《企业信息公示暂行条例》的通知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140</w:t>
            </w:r>
          </w:p>
        </w:tc>
        <w:tc>
          <w:tcPr>
            <w:tcW w:w="2812" w:type="dxa"/>
            <w:vAlign w:val="center"/>
          </w:tcPr>
          <w:p>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112</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关于进一步加强大气污染综合治理工作的通知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关于转发《枣庄市人民政府关于切实加强农村居地地震安全工作的意见》的通知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转发《住房和城乡建设部〈城镇污水排入排水管网许可管理办法〉》的通知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关于深入开展安全生产宣传“五进”活动的实施意见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关于印发《滕州市户籍制度改革实施意见》（试行）的通知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145</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关于提高农村居民最低生活保障和农村五保供养标准的通知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146</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关于印发《滕州市城乡环卫一体化市细化作业考核办法》的通知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147</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关于治理规范旅游市场秩序的通知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148</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关于印发《滕州市住宅供热室温监测及退费规定》（试行）的通知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149</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关于印发《滕州市优秀企业家评选管理办法（试行）》的通知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150</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关于做好农村电网改造工作的意见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关于进一步加强集中供热工程管理的通知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转发人社局、财政局《关于加强各镇街和部分非全额事业单位社会保险费征缴》的通知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关于进一步做好永久基本农田划定工作的通知</w:t>
            </w:r>
          </w:p>
        </w:tc>
      </w:tr>
    </w:tbl>
    <w:p>
      <w:pPr>
        <w:rPr>
          <w:rFonts w:hint="eastAsia" w:ascii="黑体" w:hAnsi="黑体" w:eastAsia="黑体" w:cs="黑体"/>
          <w:color w:val="000000" w:themeColor="text1"/>
          <w:sz w:val="32"/>
          <w:szCs w:val="32"/>
          <w:lang w:val="en-US" w:eastAsia="zh-CN"/>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sectPr>
          <w:pgSz w:w="16838" w:h="11906" w:orient="landscape"/>
          <w:pgMar w:top="1701" w:right="1701" w:bottom="1701" w:left="1701" w:header="851" w:footer="992" w:gutter="0"/>
          <w:pgNumType w:fmt="numberInDash"/>
          <w:cols w:space="0" w:num="1"/>
          <w:rtlGutter w:val="0"/>
          <w:docGrid w:type="lines" w:linePitch="314" w:charSpace="0"/>
        </w:sectPr>
      </w:pPr>
    </w:p>
    <w:p>
      <w:pPr>
        <w:jc w:val="both"/>
        <w:rPr>
          <w:rFonts w:hint="eastAsia" w:ascii="仿宋_GB2312" w:hAnsi="仿宋_GB2312" w:eastAsia="仿宋_GB2312" w:cs="仿宋_GB2312"/>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24"/>
          <w:lang w:val="en-US" w:eastAsia="zh-CN" w:bidi="ar-SA"/>
          <w14:textFill>
            <w14:solidFill>
              <w14:schemeClr w14:val="tx1"/>
            </w14:solidFill>
          </w14:textFill>
        </w:rPr>
        <w:t>（此页无正文）</w:t>
      </w: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pPr>
        <w:rPr>
          <w:rFonts w:hint="eastAsia" w:eastAsia="仿宋_GB2312"/>
          <w:color w:val="000000" w:themeColor="text1"/>
          <w:sz w:val="32"/>
          <w:szCs w:val="32"/>
          <w14:textFill>
            <w14:solidFill>
              <w14:schemeClr w14:val="tx1"/>
            </w14:solidFill>
          </w14:textFill>
        </w:rPr>
      </w:pPr>
    </w:p>
    <w:p>
      <w:pPr>
        <w:spacing w:line="400" w:lineRule="exact"/>
        <w:jc w:val="right"/>
        <w:rPr>
          <w:rFonts w:hint="eastAsia" w:ascii="仿宋_GB2312" w:hAnsi="Arial" w:eastAsia="仿宋_GB2312" w:cs="Arial"/>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1" name="直线 8"/>
                <wp:cNvGraphicFramePr/>
                <a:graphic xmlns:a="http://schemas.openxmlformats.org/drawingml/2006/main">
                  <a:graphicData uri="http://schemas.microsoft.com/office/word/2010/wordprocessingShape">
                    <wps:wsp>
                      <wps:cNvCnPr/>
                      <wps:spPr>
                        <a:xfrm>
                          <a:off x="0" y="0"/>
                          <a:ext cx="5471795"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top:13pt;height:2pt;width:430.85pt;mso-position-horizontal:center;z-index:251665408;mso-width-relative:page;mso-height-relative:page;" filled="f" stroked="t" coordsize="21600,21600" o:gfxdata="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XrjPz&#10;1AAAAAYBAAAPAAAAAAAAAAEAIAAAADgAAABkcnMvZG93bnJldi54bWxQSwECFAAUAAAACACHTuJA&#10;woziBdYBAACVAwAADgAAAAAAAAABACAAAAA5AQAAZHJzL2Uyb0RvYy54bWxQSwUGAAAAAAYABgBZ&#10;AQAAgQUAAAAA&#10;">
                <v:fill on="f" focussize="0,0"/>
                <v:stroke weight="1.5pt" color="#000000" joinstyle="round"/>
                <v:imagedata o:title=""/>
                <o:lock v:ext="edit" aspectratio="f"/>
              </v:line>
            </w:pict>
          </mc:Fallback>
        </mc:AlternateContent>
      </w:r>
    </w:p>
    <w:p>
      <w:pPr>
        <w:spacing w:line="4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抄送：</w:t>
      </w:r>
      <w:r>
        <w:rPr>
          <w:rFonts w:hint="eastAsia" w:ascii="仿宋_GB2312" w:eastAsia="仿宋_GB2312"/>
          <w:color w:val="000000" w:themeColor="text1"/>
          <w:sz w:val="28"/>
          <w:szCs w:val="28"/>
          <w14:textFill>
            <w14:solidFill>
              <w14:schemeClr w14:val="tx1"/>
            </w14:solidFill>
          </w14:textFill>
        </w:rPr>
        <w:t xml:space="preserve">市委办公室，市人大常委会办公室，市政协办公室，市纪委 </w:t>
      </w:r>
    </w:p>
    <w:p>
      <w:pPr>
        <w:spacing w:line="4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办公室，市法院，市检察院，市人武部。</w:t>
      </w:r>
    </w:p>
    <w:p>
      <w:pPr>
        <w:spacing w:line="2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38735</wp:posOffset>
                </wp:positionV>
                <wp:extent cx="5471795" cy="0"/>
                <wp:effectExtent l="0" t="0" r="0" b="0"/>
                <wp:wrapNone/>
                <wp:docPr id="5" name="直线 9"/>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3.05pt;height:0pt;width:430.85pt;mso-position-horizontal:center;z-index:251666432;mso-width-relative:page;mso-height-relative:page;" filled="f" stroked="t" coordsize="21600,21600" o:gfxdata="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uW4IPSAAAABAEAAA8A&#10;AAAAAAAAAQAgAAAAOAAAAGRycy9kb3ducmV2LnhtbFBLAQIUABQAAAAIAIdO4kD1UkHLzgEAAJAD&#10;AAAOAAAAAAAAAAEAIAAAADcBAABkcnMvZTJvRG9jLnhtbFBLBQYAAAAABgAGAFkBAAB3BQ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    </w:t>
      </w:r>
    </w:p>
    <w:p>
      <w:pPr>
        <w:spacing w:line="400" w:lineRule="exact"/>
        <w:rPr>
          <w:rFonts w:hint="eastAsia" w:ascii="Times New Roman"/>
          <w:color w:val="000000" w:themeColor="text1"/>
          <w:szCs w:val="21"/>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310515</wp:posOffset>
                </wp:positionV>
                <wp:extent cx="5471795" cy="7620"/>
                <wp:effectExtent l="0" t="0" r="0" b="0"/>
                <wp:wrapNone/>
                <wp:docPr id="4" name="直线 10"/>
                <wp:cNvGraphicFramePr/>
                <a:graphic xmlns:a="http://schemas.openxmlformats.org/drawingml/2006/main">
                  <a:graphicData uri="http://schemas.microsoft.com/office/word/2010/wordprocessingShape">
                    <wps:wsp>
                      <wps:cNvCnPr/>
                      <wps:spPr>
                        <a:xfrm>
                          <a:off x="0" y="0"/>
                          <a:ext cx="5471795"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top:24.45pt;height:0.6pt;width:430.85pt;mso-position-horizontal:center;z-index:251667456;mso-width-relative:page;mso-height-relative:page;" filled="f" stroked="t" coordsize="21600,21600" o:gfxdata="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CnYjE&#10;1QAAAAYBAAAPAAAAAAAAAAEAIAAAADgAAABkcnMvZG93bnJldi54bWxQSwECFAAUAAAACACHTuJA&#10;PBcxpdUBAACVAwAADgAAAAAAAAABACAAAAA6AQAAZHJzL2Uyb0RvYy54bWxQSwUGAAAAAAYABgBZ&#10;AQAAgQUAAAAA&#10;">
                <v:fill on="f" focussize="0,0"/>
                <v:stroke weight="1.5pt"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滕州市人民政府办公室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201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日印发</w:t>
      </w:r>
    </w:p>
    <w:p>
      <w:pPr>
        <w:widowControl/>
        <w:spacing w:line="200" w:lineRule="exact"/>
        <w:ind w:firstLine="400"/>
        <w:rPr>
          <w:rFonts w:hint="eastAsia" w:ascii="黑体" w:hAnsi="黑体" w:eastAsia="黑体" w:cs="黑体"/>
          <w:color w:val="000000" w:themeColor="text1"/>
          <w:kern w:val="0"/>
          <w:sz w:val="32"/>
          <w:szCs w:val="24"/>
          <w:lang w:val="en-US" w:eastAsia="zh-CN" w:bidi="ar-SA"/>
          <w14:textFill>
            <w14:solidFill>
              <w14:schemeClr w14:val="tx1"/>
            </w14:solidFill>
          </w14:textFill>
        </w:rPr>
      </w:pPr>
    </w:p>
    <w:sectPr>
      <w:pgSz w:w="11906" w:h="16838"/>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7"/>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91866"/>
    <w:rsid w:val="02510F0F"/>
    <w:rsid w:val="027C7D5E"/>
    <w:rsid w:val="04907F83"/>
    <w:rsid w:val="04E95298"/>
    <w:rsid w:val="052F6C97"/>
    <w:rsid w:val="054E37FD"/>
    <w:rsid w:val="057C6C1C"/>
    <w:rsid w:val="057D2664"/>
    <w:rsid w:val="058904E7"/>
    <w:rsid w:val="06B2184E"/>
    <w:rsid w:val="06DD1D44"/>
    <w:rsid w:val="07830157"/>
    <w:rsid w:val="083B582D"/>
    <w:rsid w:val="08AF6268"/>
    <w:rsid w:val="08C83B59"/>
    <w:rsid w:val="08E145A1"/>
    <w:rsid w:val="08FB09CC"/>
    <w:rsid w:val="09DE4AAC"/>
    <w:rsid w:val="0CF320BB"/>
    <w:rsid w:val="0D423260"/>
    <w:rsid w:val="0D95651C"/>
    <w:rsid w:val="0DD1548A"/>
    <w:rsid w:val="0E563202"/>
    <w:rsid w:val="0EB5514D"/>
    <w:rsid w:val="0F540AB5"/>
    <w:rsid w:val="12140A6C"/>
    <w:rsid w:val="123768D4"/>
    <w:rsid w:val="132321E0"/>
    <w:rsid w:val="132A779D"/>
    <w:rsid w:val="132B64D3"/>
    <w:rsid w:val="13AF0F0E"/>
    <w:rsid w:val="142F0991"/>
    <w:rsid w:val="144633D1"/>
    <w:rsid w:val="14534BA9"/>
    <w:rsid w:val="1458224C"/>
    <w:rsid w:val="148C4975"/>
    <w:rsid w:val="163D0E7A"/>
    <w:rsid w:val="17F33ABC"/>
    <w:rsid w:val="185D454D"/>
    <w:rsid w:val="18F5115F"/>
    <w:rsid w:val="192E1B4E"/>
    <w:rsid w:val="19B44F81"/>
    <w:rsid w:val="1A052555"/>
    <w:rsid w:val="1A3713A8"/>
    <w:rsid w:val="1ABD39C7"/>
    <w:rsid w:val="1AFA678A"/>
    <w:rsid w:val="1B191C3D"/>
    <w:rsid w:val="1B4C38E9"/>
    <w:rsid w:val="1F5C45E5"/>
    <w:rsid w:val="1FAB649E"/>
    <w:rsid w:val="2294207B"/>
    <w:rsid w:val="22FD05B0"/>
    <w:rsid w:val="23740C9B"/>
    <w:rsid w:val="24004330"/>
    <w:rsid w:val="241A5075"/>
    <w:rsid w:val="242176FA"/>
    <w:rsid w:val="24BF4C13"/>
    <w:rsid w:val="259E7FC7"/>
    <w:rsid w:val="265634CF"/>
    <w:rsid w:val="265A0EC8"/>
    <w:rsid w:val="281974F1"/>
    <w:rsid w:val="284E4A9E"/>
    <w:rsid w:val="28C2141B"/>
    <w:rsid w:val="29FB055F"/>
    <w:rsid w:val="2C6162A3"/>
    <w:rsid w:val="2DFA549F"/>
    <w:rsid w:val="2EE67833"/>
    <w:rsid w:val="2F3C69F6"/>
    <w:rsid w:val="3050754B"/>
    <w:rsid w:val="30A36BD2"/>
    <w:rsid w:val="3255384B"/>
    <w:rsid w:val="325717BE"/>
    <w:rsid w:val="34275837"/>
    <w:rsid w:val="34753CD7"/>
    <w:rsid w:val="34780435"/>
    <w:rsid w:val="34BF0124"/>
    <w:rsid w:val="3532399F"/>
    <w:rsid w:val="357E42BE"/>
    <w:rsid w:val="35C611FF"/>
    <w:rsid w:val="35EA0015"/>
    <w:rsid w:val="36923147"/>
    <w:rsid w:val="36B15D6D"/>
    <w:rsid w:val="37445754"/>
    <w:rsid w:val="37524156"/>
    <w:rsid w:val="37C6351D"/>
    <w:rsid w:val="384B335E"/>
    <w:rsid w:val="39593F5A"/>
    <w:rsid w:val="3A413706"/>
    <w:rsid w:val="3AA23A8B"/>
    <w:rsid w:val="3B7C21AD"/>
    <w:rsid w:val="3BFB6D39"/>
    <w:rsid w:val="3C792771"/>
    <w:rsid w:val="3CAF293E"/>
    <w:rsid w:val="3D3A26D6"/>
    <w:rsid w:val="3D466F3D"/>
    <w:rsid w:val="400C5A01"/>
    <w:rsid w:val="40351F56"/>
    <w:rsid w:val="404266B4"/>
    <w:rsid w:val="40664A5A"/>
    <w:rsid w:val="42B62C3A"/>
    <w:rsid w:val="42CA5855"/>
    <w:rsid w:val="430B1F54"/>
    <w:rsid w:val="4326125F"/>
    <w:rsid w:val="436B386B"/>
    <w:rsid w:val="451A6DA5"/>
    <w:rsid w:val="45A936EE"/>
    <w:rsid w:val="4645151A"/>
    <w:rsid w:val="471A49F5"/>
    <w:rsid w:val="47590650"/>
    <w:rsid w:val="47B016BC"/>
    <w:rsid w:val="48C9378D"/>
    <w:rsid w:val="49A01D89"/>
    <w:rsid w:val="4A5515A4"/>
    <w:rsid w:val="4BBB3813"/>
    <w:rsid w:val="4BC365A9"/>
    <w:rsid w:val="4BCF6700"/>
    <w:rsid w:val="4C79015E"/>
    <w:rsid w:val="4D782FFB"/>
    <w:rsid w:val="4E8515F3"/>
    <w:rsid w:val="4EBD3A79"/>
    <w:rsid w:val="4EDD1AA2"/>
    <w:rsid w:val="4FCA2C8D"/>
    <w:rsid w:val="51D24744"/>
    <w:rsid w:val="5248748C"/>
    <w:rsid w:val="526237EF"/>
    <w:rsid w:val="539B5F13"/>
    <w:rsid w:val="54186B10"/>
    <w:rsid w:val="542E3404"/>
    <w:rsid w:val="557C15D7"/>
    <w:rsid w:val="55B84F7E"/>
    <w:rsid w:val="566E329C"/>
    <w:rsid w:val="568750C7"/>
    <w:rsid w:val="56981F9E"/>
    <w:rsid w:val="56B63828"/>
    <w:rsid w:val="56DF3A16"/>
    <w:rsid w:val="596C4F76"/>
    <w:rsid w:val="597A7AD0"/>
    <w:rsid w:val="59FF2DAB"/>
    <w:rsid w:val="5B1D3866"/>
    <w:rsid w:val="5BCC1054"/>
    <w:rsid w:val="5C5F599C"/>
    <w:rsid w:val="5C622378"/>
    <w:rsid w:val="5CC41C59"/>
    <w:rsid w:val="5CF4653A"/>
    <w:rsid w:val="5D2C5D7B"/>
    <w:rsid w:val="5D6F70B3"/>
    <w:rsid w:val="5ECC4C0C"/>
    <w:rsid w:val="5ED2272F"/>
    <w:rsid w:val="5ED714B4"/>
    <w:rsid w:val="5F0D7436"/>
    <w:rsid w:val="5F383CA7"/>
    <w:rsid w:val="5F5D6AFE"/>
    <w:rsid w:val="5FC4615F"/>
    <w:rsid w:val="5FE17C47"/>
    <w:rsid w:val="605F2047"/>
    <w:rsid w:val="609D30D7"/>
    <w:rsid w:val="61363ED9"/>
    <w:rsid w:val="626E78B9"/>
    <w:rsid w:val="62E821A7"/>
    <w:rsid w:val="65322FB5"/>
    <w:rsid w:val="66C11156"/>
    <w:rsid w:val="66F13C1F"/>
    <w:rsid w:val="670607C5"/>
    <w:rsid w:val="6770623D"/>
    <w:rsid w:val="67A80B94"/>
    <w:rsid w:val="683C19BB"/>
    <w:rsid w:val="68F608C3"/>
    <w:rsid w:val="69932E56"/>
    <w:rsid w:val="6A992C18"/>
    <w:rsid w:val="6AA054FD"/>
    <w:rsid w:val="6ACA2B53"/>
    <w:rsid w:val="6AF600CE"/>
    <w:rsid w:val="6B0242C5"/>
    <w:rsid w:val="6B204500"/>
    <w:rsid w:val="6B802DE9"/>
    <w:rsid w:val="6C874E30"/>
    <w:rsid w:val="6C920EDB"/>
    <w:rsid w:val="6CEF51F2"/>
    <w:rsid w:val="6D1761A0"/>
    <w:rsid w:val="6D797975"/>
    <w:rsid w:val="6DE76E8D"/>
    <w:rsid w:val="6E893357"/>
    <w:rsid w:val="70D74C46"/>
    <w:rsid w:val="716B5FEC"/>
    <w:rsid w:val="71992277"/>
    <w:rsid w:val="72231CF5"/>
    <w:rsid w:val="723F7205"/>
    <w:rsid w:val="729068AD"/>
    <w:rsid w:val="73413D25"/>
    <w:rsid w:val="736C51C3"/>
    <w:rsid w:val="73D56444"/>
    <w:rsid w:val="7460437D"/>
    <w:rsid w:val="74781939"/>
    <w:rsid w:val="74920C57"/>
    <w:rsid w:val="74A3577B"/>
    <w:rsid w:val="74AD30C2"/>
    <w:rsid w:val="74F23720"/>
    <w:rsid w:val="75DA60AA"/>
    <w:rsid w:val="779B08DF"/>
    <w:rsid w:val="77A72107"/>
    <w:rsid w:val="78533265"/>
    <w:rsid w:val="78BD1225"/>
    <w:rsid w:val="78F73AE1"/>
    <w:rsid w:val="79322817"/>
    <w:rsid w:val="79E77382"/>
    <w:rsid w:val="7A0732B6"/>
    <w:rsid w:val="7A4D2BD2"/>
    <w:rsid w:val="7AFC646E"/>
    <w:rsid w:val="7C050FE1"/>
    <w:rsid w:val="7C6B3D98"/>
    <w:rsid w:val="7CCF36F7"/>
    <w:rsid w:val="7D935F91"/>
    <w:rsid w:val="7DD664A8"/>
    <w:rsid w:val="7E8E7206"/>
    <w:rsid w:val="7EEE7747"/>
    <w:rsid w:val="7FE23466"/>
    <w:rsid w:val="FF399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rPr>
      <w:kern w:val="0"/>
      <w:sz w:val="20"/>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w:basedOn w:val="1"/>
    <w:link w:val="8"/>
    <w:qFormat/>
    <w:uiPriority w:val="0"/>
    <w:pPr>
      <w:widowControl/>
      <w:spacing w:after="160" w:line="240" w:lineRule="exact"/>
      <w:ind w:firstLine="980" w:firstLineChars="350"/>
      <w:jc w:val="left"/>
    </w:pPr>
    <w:rPr>
      <w:kern w:val="0"/>
      <w:sz w:val="20"/>
      <w:szCs w:val="20"/>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爱新觉罗-琛</cp:lastModifiedBy>
  <cp:lastPrinted>2018-01-09T14:41:00Z</cp:lastPrinted>
  <dcterms:modified xsi:type="dcterms:W3CDTF">2023-09-12T14:47:16Z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